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EA0" w:rsidRDefault="005E6F1F">
      <w:r>
        <w:rPr>
          <w:noProof/>
          <w:lang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margin-left:534.75pt;margin-top:197.85pt;width:0;height:11.85pt;z-index:251689984" o:connectortype="straight" strokecolor="#548dd4 [1951]" strokeweight="3pt"/>
        </w:pict>
      </w:r>
      <w:r>
        <w:rPr>
          <w:noProof/>
          <w:lang w:eastAsia="es-MX"/>
        </w:rPr>
        <w:pict>
          <v:shape id="_x0000_s1046" type="#_x0000_t32" style="position:absolute;margin-left:313.85pt;margin-top:197.85pt;width:0;height:11.85pt;z-index:251688960" o:connectortype="straight" strokecolor="#548dd4 [1951]" strokeweight="3pt"/>
        </w:pict>
      </w:r>
      <w:r>
        <w:rPr>
          <w:noProof/>
          <w:lang w:eastAsia="es-MX"/>
        </w:rPr>
        <w:pict>
          <v:shape id="_x0000_s1045" type="#_x0000_t32" style="position:absolute;margin-left:82.1pt;margin-top:284.7pt;width:0;height:24.75pt;z-index:251687936" o:connectortype="straight" strokecolor="#548dd4 [1951]" strokeweight="3pt"/>
        </w:pict>
      </w:r>
      <w:r>
        <w:rPr>
          <w:noProof/>
          <w:lang w:eastAsia="es-MX"/>
        </w:rPr>
        <w:pict>
          <v:shape id="_x0000_s1044" type="#_x0000_t32" style="position:absolute;margin-left:534.75pt;margin-top:75.35pt;width:0;height:27.75pt;z-index:251686912" o:connectortype="straight" strokecolor="#548dd4 [1951]" strokeweight="3pt"/>
        </w:pict>
      </w:r>
      <w:r>
        <w:rPr>
          <w:noProof/>
          <w:lang w:eastAsia="es-MX"/>
        </w:rPr>
        <w:pict>
          <v:shape id="_x0000_s1043" type="#_x0000_t32" style="position:absolute;margin-left:313.85pt;margin-top:74.7pt;width:0;height:27.75pt;z-index:251685888" o:connectortype="straight" strokecolor="#548dd4 [1951]" strokeweight="3pt"/>
        </w:pict>
      </w:r>
      <w:r>
        <w:rPr>
          <w:noProof/>
          <w:lang w:eastAsia="es-MX"/>
        </w:rPr>
        <w:pict>
          <v:shape id="_x0000_s1042" type="#_x0000_t32" style="position:absolute;margin-left:82.1pt;margin-top:74.7pt;width:0;height:27.75pt;z-index:251684864" o:connectortype="straight" strokecolor="#548dd4 [1951]" strokeweight="3pt"/>
        </w:pict>
      </w:r>
      <w:r>
        <w:rPr>
          <w:noProof/>
          <w:lang w:eastAsia="es-MX"/>
        </w:rPr>
        <w:pict>
          <v:shape id="_x0000_s1041" type="#_x0000_t32" style="position:absolute;margin-left:534.75pt;margin-top:3.45pt;width:0;height:23.3pt;z-index:251683840" o:connectortype="straight" strokecolor="#548dd4 [1951]" strokeweight="3pt"/>
        </w:pict>
      </w:r>
      <w:r>
        <w:rPr>
          <w:noProof/>
          <w:lang w:eastAsia="es-MX"/>
        </w:rPr>
        <w:pict>
          <v:shape id="_x0000_s1040" type="#_x0000_t32" style="position:absolute;margin-left:313.85pt;margin-top:3.45pt;width:0;height:24pt;z-index:251682816" o:connectortype="straight" strokecolor="#548dd4 [1951]" strokeweight="3pt"/>
        </w:pict>
      </w:r>
      <w:r>
        <w:rPr>
          <w:noProof/>
          <w:lang w:eastAsia="es-MX"/>
        </w:rPr>
        <w:pict>
          <v:shape id="_x0000_s1039" type="#_x0000_t32" style="position:absolute;margin-left:82.1pt;margin-top:3.45pt;width:0;height:23.3pt;z-index:251681792" o:connectortype="straight" strokecolor="#548dd4 [1951]" strokeweight="3pt"/>
        </w:pict>
      </w:r>
      <w:r>
        <w:rPr>
          <w:noProof/>
          <w:lang w:eastAsia="es-MX"/>
        </w:rPr>
        <w:pict>
          <v:shape id="_x0000_s1038" type="#_x0000_t32" style="position:absolute;margin-left:82.1pt;margin-top:3.45pt;width:452.65pt;height:0;z-index:251680768" o:connectortype="straight" strokecolor="#548dd4 [1951]" strokeweight="3pt"/>
        </w:pict>
      </w:r>
      <w:r>
        <w:rPr>
          <w:noProof/>
          <w:lang w:eastAsia="es-MX"/>
        </w:rPr>
        <w:pict>
          <v:shape id="_x0000_s1037" type="#_x0000_t32" style="position:absolute;margin-left:313.85pt;margin-top:-7.05pt;width:0;height:10.5pt;z-index:251679744" o:connectortype="straight" strokecolor="#548dd4 [1951]" strokeweight="3pt"/>
        </w:pict>
      </w:r>
      <w:r w:rsidRPr="00A37C15">
        <w:rPr>
          <w:noProof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440.7pt;margin-top:209.7pt;width:253.7pt;height:297.6pt;z-index:251678720;mso-width-relative:margin;mso-height-relative:margin" fillcolor="#9bbb59 [3206]" strokecolor="#f2f2f2 [3041]" strokeweight="3pt">
            <v:shadow on="t" type="perspective" color="#4e6128 [1606]" opacity=".5" offset="1pt" offset2="-1pt"/>
            <v:textbox>
              <w:txbxContent>
                <w:p w:rsidR="006947AF" w:rsidRDefault="006947AF" w:rsidP="006947AF">
                  <w:pPr>
                    <w:jc w:val="center"/>
                    <w:rPr>
                      <w:rFonts w:ascii="Comic Sans MS" w:hAnsi="Comic Sans MS"/>
                      <w:b/>
                      <w:lang w:val="es-ES"/>
                    </w:rPr>
                  </w:pPr>
                  <w:r w:rsidRPr="006947AF">
                    <w:rPr>
                      <w:rFonts w:ascii="Comic Sans MS" w:hAnsi="Comic Sans MS"/>
                      <w:b/>
                      <w:lang w:val="es-ES"/>
                    </w:rPr>
                    <w:t>La flexibilidad curricular para el Docente en Preescolar</w:t>
                  </w:r>
                </w:p>
                <w:p w:rsidR="006947AF" w:rsidRPr="006947AF" w:rsidRDefault="006947AF" w:rsidP="006947AF">
                  <w:pPr>
                    <w:rPr>
                      <w:rFonts w:ascii="Comic Sans MS" w:hAnsi="Comic Sans MS"/>
                      <w:sz w:val="20"/>
                      <w:lang w:val="es-ES"/>
                    </w:rPr>
                  </w:pPr>
                  <w:r>
                    <w:rPr>
                      <w:rFonts w:ascii="Comic Sans MS" w:hAnsi="Comic Sans MS"/>
                      <w:sz w:val="20"/>
                      <w:lang w:val="es-ES"/>
                    </w:rPr>
                    <w:t>-Incluye enfoques pedagógicos que ubican el trabajo del estudiante normalista.                                           –Incorpora en cada curso actividades relevantes pertinentes y contextualizadas, orientadas a promover el aprendizaje significativo.                                           –Incorpora en la malla curricular un conjunto de cursos optativos.                                                                        –Promueve la participación de los colegiados de profesores de las Escuelas Normales.                                          –Formaliza sistemas de tutoría y asesoría con acompañamiento académico.                                                     –Organiza trayectos formativos con propósitos definidos en la estructura curricular.                                           –Incluye estrategias de movilidad nacional e interinstitucional.</w:t>
                  </w:r>
                </w:p>
              </w:txbxContent>
            </v:textbox>
          </v:shape>
        </w:pict>
      </w:r>
      <w:r w:rsidRPr="00A37C15">
        <w:rPr>
          <w:noProof/>
          <w:lang w:val="es-ES"/>
        </w:rPr>
        <w:pict>
          <v:shape id="_x0000_s1035" type="#_x0000_t202" style="position:absolute;margin-left:444.9pt;margin-top:103.1pt;width:249.5pt;height:94.75pt;z-index:251676672;mso-width-relative:margin;mso-height-relative:margin" fillcolor="#9bbb59 [3206]" strokecolor="#f2f2f2 [3041]" strokeweight="3pt">
            <v:shadow on="t" type="perspective" color="#4e6128 [1606]" opacity=".5" offset="1pt" offset2="-1pt"/>
            <v:textbox>
              <w:txbxContent>
                <w:p w:rsidR="00F01751" w:rsidRPr="006947AF" w:rsidRDefault="006947AF">
                  <w:pPr>
                    <w:rPr>
                      <w:rFonts w:ascii="Comic Sans MS" w:hAnsi="Comic Sans MS"/>
                      <w:sz w:val="20"/>
                      <w:lang w:val="es-ES"/>
                    </w:rPr>
                  </w:pPr>
                  <w:r w:rsidRPr="006947AF">
                    <w:rPr>
                      <w:rFonts w:ascii="Comic Sans MS" w:hAnsi="Comic Sans MS"/>
                      <w:sz w:val="20"/>
                      <w:lang w:val="es-ES"/>
                    </w:rPr>
                    <w:t>La flexibilidad en sus diversos ámbitos y expresiones ha rehabilitado su importancia en el contexto de las transformaciones sociales, económicas, políticas y culturales ocurridas a nivel nacional en los años recientes.</w:t>
                  </w:r>
                </w:p>
              </w:txbxContent>
            </v:textbox>
          </v:shape>
        </w:pict>
      </w:r>
      <w:r w:rsidRPr="00A37C15">
        <w:rPr>
          <w:noProof/>
          <w:lang w:val="es-ES"/>
        </w:rPr>
        <w:pict>
          <v:shape id="_x0000_s1034" type="#_x0000_t202" style="position:absolute;margin-left:198.65pt;margin-top:209.7pt;width:231.65pt;height:236.45pt;z-index:251674624;mso-width-relative:margin;mso-height-relative:margin" fillcolor="#9bbb59 [3206]" strokecolor="#f2f2f2 [3041]" strokeweight="3pt">
            <v:shadow on="t" type="perspective" color="#4e6128 [1606]" opacity=".5" offset="1pt" offset2="-1pt"/>
            <v:textbox>
              <w:txbxContent>
                <w:p w:rsidR="00F01751" w:rsidRPr="006947AF" w:rsidRDefault="00F01751" w:rsidP="00F01751">
                  <w:pPr>
                    <w:jc w:val="center"/>
                    <w:rPr>
                      <w:rFonts w:ascii="Comic Sans MS" w:hAnsi="Comic Sans MS"/>
                      <w:b/>
                      <w:sz w:val="20"/>
                      <w:lang w:val="es-ES"/>
                    </w:rPr>
                  </w:pPr>
                  <w:r w:rsidRPr="006947AF">
                    <w:rPr>
                      <w:rFonts w:ascii="Comic Sans MS" w:hAnsi="Comic Sans MS"/>
                      <w:b/>
                      <w:sz w:val="20"/>
                      <w:lang w:val="es-ES"/>
                    </w:rPr>
                    <w:t>CARACTERISTICAS DE COMPTENCIAS</w:t>
                  </w:r>
                </w:p>
                <w:p w:rsidR="00F01751" w:rsidRPr="006947AF" w:rsidRDefault="00F01751" w:rsidP="00F01751">
                  <w:pPr>
                    <w:rPr>
                      <w:rFonts w:ascii="Comic Sans MS" w:hAnsi="Comic Sans MS"/>
                      <w:sz w:val="20"/>
                      <w:szCs w:val="20"/>
                      <w:lang w:val="es-ES"/>
                    </w:rPr>
                  </w:pPr>
                  <w:r w:rsidRPr="006947AF">
                    <w:rPr>
                      <w:rFonts w:ascii="Comic Sans MS" w:hAnsi="Comic Sans MS"/>
                      <w:sz w:val="20"/>
                      <w:szCs w:val="20"/>
                      <w:lang w:val="es-ES"/>
                    </w:rPr>
                    <w:t>-Las competencias tienen un carácter holístico e integrado.                                                                                    –Las competencias se encuentran en permanente desarrollo.                                                            –Las competencias se concretan en diferentes contextos de intervención y evaluación.                                   –Las competencias se integran mediante un proceso permanente de reflexión crítica.                             –Las competencias varían en su desarrollo y nivel de logro según su dificultad y de dominio. –Las competencias operan un cambio en la lógica de la transposición didáctica.</w:t>
                  </w:r>
                </w:p>
                <w:p w:rsidR="00F01751" w:rsidRPr="00F01751" w:rsidRDefault="00F01751" w:rsidP="00F01751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Pr="00A37C15">
        <w:rPr>
          <w:noProof/>
          <w:lang w:val="es-ES"/>
        </w:rPr>
        <w:pict>
          <v:shape id="_x0000_s1031" type="#_x0000_t202" style="position:absolute;margin-left:193.1pt;margin-top:102.45pt;width:237.2pt;height:92.25pt;z-index:251670528;mso-width-relative:margin;mso-height-relative:margin" fillcolor="#9bbb59 [3206]" strokecolor="#f2f2f2 [3041]" strokeweight="3pt">
            <v:shadow on="t" type="perspective" color="#4e6128 [1606]" opacity=".5" offset="1pt" offset2="-1pt"/>
            <v:textbox style="mso-next-textbox:#_x0000_s1031">
              <w:txbxContent>
                <w:p w:rsidR="004A19C8" w:rsidRPr="006947AF" w:rsidRDefault="00F01751">
                  <w:pPr>
                    <w:rPr>
                      <w:rFonts w:ascii="Comic Sans MS" w:hAnsi="Comic Sans MS"/>
                      <w:sz w:val="20"/>
                      <w:lang w:val="es-ES"/>
                    </w:rPr>
                  </w:pPr>
                  <w:r w:rsidRPr="006947AF">
                    <w:rPr>
                      <w:rFonts w:ascii="Comic Sans MS" w:hAnsi="Comic Sans MS"/>
                      <w:sz w:val="20"/>
                      <w:lang w:val="es-ES"/>
                    </w:rPr>
                    <w:t>La perspectiva sociocultural o socio-constructivista de las competencias aboga por integrar diversos saberes y recursos cognitivos cuando se enfrentan a una situación-problemática y su capacidad para resolverla.</w:t>
                  </w:r>
                </w:p>
              </w:txbxContent>
            </v:textbox>
          </v:shape>
        </w:pict>
      </w:r>
      <w:r w:rsidRPr="00A37C15">
        <w:rPr>
          <w:noProof/>
          <w:lang w:val="es-ES"/>
        </w:rPr>
        <w:pict>
          <v:shape id="_x0000_s1033" type="#_x0000_t202" style="position:absolute;margin-left:-50.55pt;margin-top:309.45pt;width:223.7pt;height:181.35pt;z-index:251672576;mso-width-relative:margin;mso-height-relative:margin" fillcolor="#9bbb59 [3206]" strokecolor="#f2f2f2 [3041]" strokeweight="3pt">
            <v:shadow on="t" type="perspective" color="#4e6128 [1606]" opacity=".5" offset="1pt" offset2="-1pt"/>
            <v:textbox>
              <w:txbxContent>
                <w:p w:rsidR="00F01751" w:rsidRDefault="00F01751" w:rsidP="00F01751">
                  <w:pPr>
                    <w:jc w:val="center"/>
                    <w:rPr>
                      <w:rFonts w:ascii="Comic Sans MS" w:hAnsi="Comic Sans MS"/>
                      <w:b/>
                      <w:lang w:val="es-ES"/>
                    </w:rPr>
                  </w:pPr>
                  <w:r>
                    <w:rPr>
                      <w:rFonts w:ascii="Comic Sans MS" w:hAnsi="Comic Sans MS"/>
                      <w:b/>
                      <w:lang w:val="es-ES"/>
                    </w:rPr>
                    <w:t>SITUACIONES DIDACTICAS DE APRENDIZAJE</w:t>
                  </w:r>
                </w:p>
                <w:p w:rsidR="00F01751" w:rsidRPr="004A19C8" w:rsidRDefault="00F01751" w:rsidP="00F01751">
                  <w:pPr>
                    <w:rPr>
                      <w:rFonts w:ascii="Comic Sans MS" w:hAnsi="Comic Sans MS"/>
                      <w:sz w:val="20"/>
                      <w:lang w:val="es-ES"/>
                    </w:rPr>
                  </w:pPr>
                  <w:r>
                    <w:rPr>
                      <w:rFonts w:ascii="Comic Sans MS" w:hAnsi="Comic Sans MS"/>
                      <w:sz w:val="20"/>
                      <w:lang w:val="es-ES"/>
                    </w:rPr>
                    <w:t>-Aprendizaje por proyectos                                            –Aprendizaje basado en casos de enseñanza –Aprendizaje basado en problemas (ABP)                     –Aprendizaje en el servicio                                           –Aprendizaje colaborativo                                                   –Detención y análisis de incidentes críticos (IC)</w:t>
                  </w:r>
                </w:p>
                <w:p w:rsidR="00F01751" w:rsidRDefault="00F01751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Pr="00A37C15">
        <w:rPr>
          <w:noProof/>
          <w:lang w:val="es-ES"/>
        </w:rPr>
        <w:pict>
          <v:shape id="_x0000_s1030" type="#_x0000_t202" style="position:absolute;margin-left:-50.55pt;margin-top:102.45pt;width:224.65pt;height:182.25pt;z-index:251668480;mso-width-relative:margin;mso-height-relative:margin" fillcolor="#9bbb59 [3206]" strokecolor="#f2f2f2 [3041]" strokeweight="3pt">
            <v:shadow on="t" type="perspective" color="#4e6128 [1606]" opacity=".5" offset="1pt" offset2="-1pt"/>
            <v:textbox style="mso-next-textbox:#_x0000_s1030">
              <w:txbxContent>
                <w:p w:rsidR="00272B54" w:rsidRDefault="004A19C8" w:rsidP="004A19C8">
                  <w:pPr>
                    <w:jc w:val="center"/>
                    <w:rPr>
                      <w:rFonts w:ascii="Comic Sans MS" w:hAnsi="Comic Sans MS"/>
                      <w:b/>
                      <w:lang w:val="es-ES"/>
                    </w:rPr>
                  </w:pPr>
                  <w:r w:rsidRPr="004A19C8">
                    <w:rPr>
                      <w:rFonts w:ascii="Comic Sans MS" w:hAnsi="Comic Sans MS"/>
                      <w:b/>
                      <w:lang w:val="es-ES"/>
                    </w:rPr>
                    <w:t>CARATECTEISTICAS</w:t>
                  </w:r>
                </w:p>
                <w:p w:rsidR="004A19C8" w:rsidRDefault="004A19C8" w:rsidP="004A19C8">
                  <w:pPr>
                    <w:rPr>
                      <w:rFonts w:ascii="Comic Sans MS" w:hAnsi="Comic Sans MS"/>
                      <w:sz w:val="20"/>
                      <w:lang w:val="es-ES"/>
                    </w:rPr>
                  </w:pPr>
                  <w:r>
                    <w:rPr>
                      <w:rFonts w:ascii="Comic Sans MS" w:hAnsi="Comic Sans MS"/>
                      <w:sz w:val="20"/>
                      <w:lang w:val="es-ES"/>
                    </w:rPr>
                    <w:t>-El conocimiento y la actividad intelectiva de la persona que aprende.                                      –Atiende la integridad del estudiante.                          –Adquisición de saberes, creencias, valores y formas de actuación profesional.                                      –Utilización de herramientas y estrategias de aprendizaje.                                                                 –Propiciar la integración entre la teoría y la práctica.</w:t>
                  </w:r>
                </w:p>
                <w:p w:rsidR="00272B54" w:rsidRDefault="00272B54"/>
              </w:txbxContent>
            </v:textbox>
          </v:shape>
        </w:pict>
      </w:r>
      <w:r w:rsidRPr="00A37C15">
        <w:rPr>
          <w:noProof/>
          <w:lang w:val="es-ES"/>
        </w:rPr>
        <w:pict>
          <v:shape id="_x0000_s1029" type="#_x0000_t202" style="position:absolute;margin-left:480pt;margin-top:26.75pt;width:162.7pt;height:47.95pt;z-index:251666432;mso-width-relative:margin;mso-height-relative:margin" fillcolor="#9bbb59 [3206]" strokecolor="#f2f2f2 [3041]" strokeweight="3pt">
            <v:shadow on="t" type="perspective" color="#4e6128 [1606]" opacity=".5" offset="1pt" offset2="-1pt"/>
            <v:textbox>
              <w:txbxContent>
                <w:p w:rsidR="00272B54" w:rsidRPr="005E6F1F" w:rsidRDefault="00272B54" w:rsidP="00272B54">
                  <w:pPr>
                    <w:jc w:val="center"/>
                    <w:rPr>
                      <w:rFonts w:ascii="Comic Sans MS" w:hAnsi="Comic Sans MS"/>
                      <w:b/>
                      <w:lang w:val="es-ES"/>
                    </w:rPr>
                  </w:pPr>
                  <w:r w:rsidRPr="005E6F1F">
                    <w:rPr>
                      <w:rFonts w:ascii="Comic Sans MS" w:hAnsi="Comic Sans MS"/>
                      <w:b/>
                      <w:lang w:val="es-ES"/>
                    </w:rPr>
                    <w:t>Flexibilidad Curricular académica y administrativa</w:t>
                  </w:r>
                </w:p>
              </w:txbxContent>
            </v:textbox>
          </v:shape>
        </w:pict>
      </w:r>
      <w:r w:rsidRPr="00A37C15">
        <w:rPr>
          <w:noProof/>
          <w:lang w:val="es-ES"/>
        </w:rPr>
        <w:pict>
          <v:shape id="_x0000_s1028" type="#_x0000_t202" style="position:absolute;margin-left:238.15pt;margin-top:27.45pt;width:127.4pt;height:47.25pt;z-index:251664384;mso-width-relative:margin;mso-height-relative:margin" fillcolor="#9bbb59 [3206]" strokecolor="#f2f2f2 [3041]" strokeweight="3pt">
            <v:shadow on="t" type="perspective" color="#4e6128 [1606]" opacity=".5" offset="1pt" offset2="-1pt"/>
            <v:textbox>
              <w:txbxContent>
                <w:p w:rsidR="00272B54" w:rsidRPr="005E6F1F" w:rsidRDefault="00272B54" w:rsidP="00272B54">
                  <w:pPr>
                    <w:jc w:val="center"/>
                    <w:rPr>
                      <w:rFonts w:ascii="Comic Sans MS" w:hAnsi="Comic Sans MS"/>
                      <w:b/>
                      <w:lang w:val="es-ES"/>
                    </w:rPr>
                  </w:pPr>
                  <w:r w:rsidRPr="005E6F1F">
                    <w:rPr>
                      <w:rFonts w:ascii="Comic Sans MS" w:hAnsi="Comic Sans MS"/>
                      <w:b/>
                      <w:lang w:val="es-ES"/>
                    </w:rPr>
                    <w:t>Enfoque basado en competencias</w:t>
                  </w:r>
                </w:p>
              </w:txbxContent>
            </v:textbox>
          </v:shape>
        </w:pict>
      </w:r>
      <w:r w:rsidRPr="00A37C15">
        <w:rPr>
          <w:noProof/>
          <w:lang w:val="es-ES"/>
        </w:rPr>
        <w:pict>
          <v:shape id="_x0000_s1027" type="#_x0000_t202" style="position:absolute;margin-left:10.25pt;margin-top:27.4pt;width:106.25pt;height:47.3pt;z-index:251662336;mso-width-relative:margin;mso-height-relative:margin" fillcolor="#9bbb59 [3206]" strokecolor="#f2f2f2 [3041]" strokeweight="3pt">
            <v:shadow on="t" type="perspective" color="#4e6128 [1606]" opacity=".5" offset="1pt" offset2="-1pt"/>
            <v:textbox>
              <w:txbxContent>
                <w:p w:rsidR="00272B54" w:rsidRPr="005E6F1F" w:rsidRDefault="00272B54">
                  <w:pPr>
                    <w:rPr>
                      <w:rFonts w:ascii="Comic Sans MS" w:hAnsi="Comic Sans MS"/>
                      <w:b/>
                      <w:sz w:val="20"/>
                      <w:lang w:val="es-ES"/>
                    </w:rPr>
                  </w:pPr>
                  <w:r w:rsidRPr="005E6F1F">
                    <w:rPr>
                      <w:rFonts w:ascii="Comic Sans MS" w:hAnsi="Comic Sans MS"/>
                      <w:b/>
                      <w:sz w:val="20"/>
                      <w:lang w:val="es-ES"/>
                    </w:rPr>
                    <w:t>Enfoque centrado en el aprendizaje</w:t>
                  </w:r>
                </w:p>
              </w:txbxContent>
            </v:textbox>
          </v:shape>
        </w:pict>
      </w:r>
      <w:r w:rsidRPr="00A37C15">
        <w:rPr>
          <w:noProof/>
          <w:lang w:val="es-ES"/>
        </w:rPr>
        <w:pict>
          <v:shape id="_x0000_s1026" type="#_x0000_t202" style="position:absolute;margin-left:173.15pt;margin-top:-65.55pt;width:276.6pt;height:55.45pt;z-index:251660288;mso-height-percent:200;mso-height-percent:200;mso-width-relative:margin;mso-height-relative:margin" fillcolor="#9bbb59 [3206]" strokecolor="#f2f2f2 [3041]" strokeweight="3pt">
            <v:shadow on="t" type="perspective" color="#4e6128 [1606]" opacity=".5" offset="1pt" offset2="-1pt"/>
            <v:textbox style="mso-fit-shape-to-text:t">
              <w:txbxContent>
                <w:p w:rsidR="00272B54" w:rsidRPr="005E6F1F" w:rsidRDefault="00272B54" w:rsidP="00272B54">
                  <w:pPr>
                    <w:jc w:val="center"/>
                    <w:rPr>
                      <w:rFonts w:ascii="Comic Sans MS" w:hAnsi="Comic Sans MS"/>
                      <w:b/>
                      <w:lang w:val="es-ES"/>
                    </w:rPr>
                  </w:pPr>
                  <w:r w:rsidRPr="005E6F1F">
                    <w:rPr>
                      <w:rFonts w:ascii="Comic Sans MS" w:hAnsi="Comic Sans MS"/>
                      <w:b/>
                      <w:lang w:val="es-ES"/>
                    </w:rPr>
                    <w:t>ORIENTACIONES CURRICULARES AL PLAN DE ESTUDIOS</w:t>
                  </w:r>
                </w:p>
              </w:txbxContent>
            </v:textbox>
          </v:shape>
        </w:pict>
      </w:r>
    </w:p>
    <w:sectPr w:rsidR="00EF1EA0" w:rsidSect="00D93EA6">
      <w:pgSz w:w="15840" w:h="12240" w:orient="landscape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72B54"/>
    <w:rsid w:val="00251775"/>
    <w:rsid w:val="00272B54"/>
    <w:rsid w:val="004A19C8"/>
    <w:rsid w:val="005E6F1F"/>
    <w:rsid w:val="006947AF"/>
    <w:rsid w:val="00AA5C50"/>
    <w:rsid w:val="00D870CB"/>
    <w:rsid w:val="00D93EA6"/>
    <w:rsid w:val="00EF1EA0"/>
    <w:rsid w:val="00F01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1951]"/>
    </o:shapedefaults>
    <o:shapelayout v:ext="edit">
      <o:idmap v:ext="edit" data="1"/>
      <o:rules v:ext="edit">
        <o:r id="V:Rule2" type="connector" idref="#_x0000_s1037"/>
        <o:r id="V:Rule4" type="connector" idref="#_x0000_s1038"/>
        <o:r id="V:Rule6" type="connector" idref="#_x0000_s1039"/>
        <o:r id="V:Rule8" type="connector" idref="#_x0000_s1040"/>
        <o:r id="V:Rule10" type="connector" idref="#_x0000_s1041"/>
        <o:r id="V:Rule12" type="connector" idref="#_x0000_s1042"/>
        <o:r id="V:Rule14" type="connector" idref="#_x0000_s1043"/>
        <o:r id="V:Rule16" type="connector" idref="#_x0000_s1044"/>
        <o:r id="V:Rule18" type="connector" idref="#_x0000_s1045"/>
        <o:r id="V:Rule20" type="connector" idref="#_x0000_s1046"/>
        <o:r id="V:Rule22" type="connector" idref="#_x0000_s104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E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72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2B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LEXUS</dc:creator>
  <cp:lastModifiedBy>LEXUS</cp:lastModifiedBy>
  <cp:revision>1</cp:revision>
  <dcterms:created xsi:type="dcterms:W3CDTF">2014-08-31T07:22:00Z</dcterms:created>
  <dcterms:modified xsi:type="dcterms:W3CDTF">2014-08-31T08:27:00Z</dcterms:modified>
</cp:coreProperties>
</file>